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6A34" w:rsidRDefault="00EB6A34">
      <w:pPr>
        <w:keepNext/>
        <w:tabs>
          <w:tab w:val="left" w:pos="5715"/>
        </w:tabs>
        <w:spacing w:after="240" w:line="240" w:lineRule="auto"/>
        <w:rPr>
          <w:rFonts w:ascii="Arial Bold" w:eastAsia="Arial Bold" w:hAnsi="Arial Bold" w:cs="Arial Bold"/>
          <w:b/>
          <w:color w:val="000000"/>
          <w:sz w:val="36"/>
          <w:szCs w:val="36"/>
        </w:rPr>
      </w:pPr>
      <w:bookmarkStart w:id="0" w:name="_gjdgxs" w:colFirst="0" w:colLast="0"/>
      <w:bookmarkStart w:id="1" w:name="_GoBack"/>
      <w:bookmarkEnd w:id="0"/>
      <w:bookmarkEnd w:id="1"/>
    </w:p>
    <w:p w:rsidR="00EB6A34" w:rsidRDefault="00C964CC">
      <w:pPr>
        <w:keepNext/>
        <w:tabs>
          <w:tab w:val="left" w:pos="5715"/>
        </w:tabs>
        <w:spacing w:after="240" w:line="240" w:lineRule="auto"/>
        <w:jc w:val="both"/>
      </w:pPr>
      <w:r>
        <w:rPr>
          <w:rFonts w:ascii="Arial Bold" w:eastAsia="Arial Bold" w:hAnsi="Arial Bold" w:cs="Arial Bold"/>
          <w:b/>
          <w:color w:val="000000"/>
          <w:sz w:val="36"/>
          <w:szCs w:val="36"/>
        </w:rPr>
        <w:t>Call-Off Schedule 1 (Transparency Reports)</w:t>
      </w:r>
    </w:p>
    <w:p w:rsidR="00EB6A34" w:rsidRDefault="00C964CC">
      <w:pPr>
        <w:spacing w:after="0" w:line="240" w:lineRule="auto"/>
        <w:ind w:left="360" w:hanging="360"/>
      </w:pPr>
      <w:r>
        <w:rPr>
          <w:rFonts w:ascii="Arial" w:eastAsia="Arial" w:hAnsi="Arial" w:cs="Arial"/>
          <w:color w:val="000000"/>
          <w:sz w:val="24"/>
          <w:szCs w:val="24"/>
        </w:rPr>
        <w:t>1.1 The Supplier recognises that the Buyer is subject to PPN 01/17 (Updates to transparency principles v1.1 (</w:t>
      </w:r>
      <w:hyperlink r:id="rId6">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w:t>
      </w:r>
      <w:r>
        <w:rPr>
          <w:rFonts w:ascii="Arial" w:eastAsia="Arial" w:hAnsi="Arial" w:cs="Arial"/>
          <w:color w:val="000000"/>
          <w:sz w:val="24"/>
          <w:szCs w:val="24"/>
        </w:rPr>
        <w:t xml:space="preserve"> with the provisions of this Schedule in order to assist the Buyer with its compliance with its obligations under that PPN.</w:t>
      </w:r>
    </w:p>
    <w:p w:rsidR="00EB6A34" w:rsidRDefault="00EB6A34">
      <w:pPr>
        <w:spacing w:after="0" w:line="240" w:lineRule="auto"/>
        <w:ind w:left="720" w:hanging="720"/>
        <w:jc w:val="both"/>
        <w:rPr>
          <w:rFonts w:ascii="Arial" w:eastAsia="Arial" w:hAnsi="Arial" w:cs="Arial"/>
          <w:color w:val="000000"/>
          <w:sz w:val="24"/>
          <w:szCs w:val="24"/>
        </w:rPr>
      </w:pPr>
    </w:p>
    <w:p w:rsidR="00EB6A34" w:rsidRDefault="00C964CC">
      <w:pPr>
        <w:spacing w:after="0" w:line="240" w:lineRule="auto"/>
        <w:ind w:left="360" w:hanging="360"/>
        <w:jc w:val="both"/>
      </w:pPr>
      <w:r>
        <w:rPr>
          <w:rFonts w:ascii="Arial" w:eastAsia="Arial" w:hAnsi="Arial" w:cs="Arial"/>
          <w:color w:val="000000"/>
          <w:sz w:val="24"/>
          <w:szCs w:val="24"/>
        </w:rPr>
        <w:t>1.2</w:t>
      </w:r>
      <w:r>
        <w:rPr>
          <w:rFonts w:ascii="Arial" w:eastAsia="Arial" w:hAnsi="Arial" w:cs="Arial"/>
          <w:color w:val="000000"/>
          <w:sz w:val="24"/>
          <w:szCs w:val="24"/>
        </w:rPr>
        <w:tab/>
        <w:t>Without prejudice to the Supplier's reporting requirements set out in the Framework Contract, within three (3) Months of the St</w:t>
      </w:r>
      <w:r>
        <w:rPr>
          <w:rFonts w:ascii="Arial" w:eastAsia="Arial" w:hAnsi="Arial" w:cs="Arial"/>
          <w:color w:val="000000"/>
          <w:sz w:val="24"/>
          <w:szCs w:val="24"/>
        </w:rPr>
        <w:t>art Date the Supplier shall submit to the Buyer for Approval (such Approval not to be unreasonably withheld or delayed) draft Transparency Reports consistent with the content requirements and format set out in the Annex of this Schedule.</w:t>
      </w:r>
    </w:p>
    <w:p w:rsidR="00EB6A34" w:rsidRDefault="00EB6A34">
      <w:pPr>
        <w:spacing w:after="0" w:line="240" w:lineRule="auto"/>
        <w:jc w:val="both"/>
        <w:rPr>
          <w:rFonts w:ascii="Arial" w:eastAsia="Arial" w:hAnsi="Arial" w:cs="Arial"/>
          <w:color w:val="000000"/>
          <w:sz w:val="24"/>
          <w:szCs w:val="24"/>
        </w:rPr>
      </w:pPr>
    </w:p>
    <w:p w:rsidR="00EB6A34" w:rsidRDefault="00C964CC">
      <w:pPr>
        <w:spacing w:after="0" w:line="240" w:lineRule="auto"/>
        <w:ind w:left="360" w:hanging="360"/>
        <w:jc w:val="both"/>
      </w:pPr>
      <w:r>
        <w:rPr>
          <w:rFonts w:ascii="Arial" w:eastAsia="Arial" w:hAnsi="Arial" w:cs="Arial"/>
          <w:color w:val="000000"/>
          <w:sz w:val="24"/>
          <w:szCs w:val="24"/>
        </w:rPr>
        <w:t xml:space="preserve">1.3 If the Buyer </w:t>
      </w:r>
      <w:r>
        <w:rPr>
          <w:rFonts w:ascii="Arial" w:eastAsia="Arial" w:hAnsi="Arial" w:cs="Arial"/>
          <w:color w:val="000000"/>
          <w:sz w:val="24"/>
          <w:szCs w:val="24"/>
        </w:rPr>
        <w:t>rejects any proposed Transparency Report submitted by the Supplier, the Supplier shall submit a revised version of the relevant report for further Approval within five (5) days of receipt of any notice of rejection, taking account of any recommendations fo</w:t>
      </w:r>
      <w:r>
        <w:rPr>
          <w:rFonts w:ascii="Arial" w:eastAsia="Arial" w:hAnsi="Arial" w:cs="Arial"/>
          <w:color w:val="000000"/>
          <w:sz w:val="24"/>
          <w:szCs w:val="24"/>
        </w:rPr>
        <w:t>r revision and improvement to the report provided by the Buyer. If the Parties fail to agree on a draft Transparency Report the Buyer shall determine what should be included. Any other disagreement in connection with Transparency Reports shall be treated a</w:t>
      </w:r>
      <w:r>
        <w:rPr>
          <w:rFonts w:ascii="Arial" w:eastAsia="Arial" w:hAnsi="Arial" w:cs="Arial"/>
          <w:color w:val="000000"/>
          <w:sz w:val="24"/>
          <w:szCs w:val="24"/>
        </w:rPr>
        <w:t>s a Dispute.</w:t>
      </w:r>
    </w:p>
    <w:p w:rsidR="00EB6A34" w:rsidRDefault="00EB6A34">
      <w:pPr>
        <w:spacing w:after="0" w:line="240" w:lineRule="auto"/>
        <w:ind w:left="720" w:hanging="720"/>
        <w:jc w:val="both"/>
        <w:rPr>
          <w:rFonts w:ascii="Arial" w:eastAsia="Arial" w:hAnsi="Arial" w:cs="Arial"/>
          <w:color w:val="000000"/>
          <w:sz w:val="24"/>
          <w:szCs w:val="24"/>
        </w:rPr>
      </w:pPr>
    </w:p>
    <w:p w:rsidR="00EB6A34" w:rsidRDefault="00C964CC">
      <w:pPr>
        <w:spacing w:after="0" w:line="240" w:lineRule="auto"/>
        <w:ind w:left="360" w:hanging="360"/>
        <w:jc w:val="both"/>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rsidR="00EB6A34" w:rsidRDefault="00C964CC">
      <w:pPr>
        <w:jc w:val="both"/>
        <w:rPr>
          <w:rFonts w:ascii="Arial" w:eastAsia="Arial" w:hAnsi="Arial" w:cs="Arial"/>
          <w:color w:val="000000"/>
          <w:sz w:val="24"/>
          <w:szCs w:val="24"/>
        </w:rPr>
      </w:pPr>
      <w:r>
        <w:br w:type="page"/>
      </w:r>
    </w:p>
    <w:p w:rsidR="00EB6A34" w:rsidRDefault="00EB6A34">
      <w:pPr>
        <w:spacing w:after="0" w:line="240" w:lineRule="auto"/>
        <w:rPr>
          <w:rFonts w:ascii="Arial" w:eastAsia="Arial" w:hAnsi="Arial" w:cs="Arial"/>
          <w:color w:val="000000"/>
          <w:sz w:val="24"/>
          <w:szCs w:val="24"/>
        </w:rPr>
      </w:pPr>
    </w:p>
    <w:p w:rsidR="00EB6A34" w:rsidRDefault="00EB6A34">
      <w:pPr>
        <w:spacing w:after="0" w:line="240" w:lineRule="auto"/>
        <w:rPr>
          <w:rFonts w:ascii="Arial" w:eastAsia="Arial" w:hAnsi="Arial" w:cs="Arial"/>
          <w:color w:val="000000"/>
          <w:sz w:val="24"/>
          <w:szCs w:val="24"/>
        </w:rPr>
      </w:pPr>
    </w:p>
    <w:p w:rsidR="00EB6A34" w:rsidRDefault="00C964CC">
      <w:pPr>
        <w:spacing w:after="240" w:line="240" w:lineRule="auto"/>
      </w:pPr>
      <w:r>
        <w:rPr>
          <w:rFonts w:ascii="Arial Bold" w:eastAsia="Arial Bold" w:hAnsi="Arial Bold" w:cs="Arial Bold"/>
          <w:b/>
          <w:color w:val="000000"/>
          <w:sz w:val="36"/>
          <w:szCs w:val="36"/>
        </w:rPr>
        <w:t>Annex A: List of Transparency Reports</w:t>
      </w:r>
    </w:p>
    <w:tbl>
      <w:tblPr>
        <w:tblStyle w:val="a"/>
        <w:tblW w:w="89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50"/>
        <w:gridCol w:w="2250"/>
        <w:gridCol w:w="2248"/>
        <w:gridCol w:w="2247"/>
      </w:tblGrid>
      <w:tr w:rsidR="00EB6A34">
        <w:trPr>
          <w:trHeight w:val="123"/>
        </w:trPr>
        <w:tc>
          <w:tcPr>
            <w:tcW w:w="2250" w:type="dxa"/>
            <w:tcBorders>
              <w:top w:val="single" w:sz="4" w:space="0" w:color="000000"/>
              <w:left w:val="single" w:sz="4" w:space="0" w:color="000000"/>
              <w:bottom w:val="single" w:sz="4" w:space="0" w:color="000000"/>
              <w:right w:val="single" w:sz="4" w:space="0" w:color="000000"/>
            </w:tcBorders>
            <w:shd w:val="clear" w:color="auto" w:fill="auto"/>
          </w:tcPr>
          <w:p w:rsidR="00EB6A34" w:rsidRDefault="00C964CC">
            <w:pPr>
              <w:spacing w:after="0" w:line="240" w:lineRule="auto"/>
            </w:pPr>
            <w:r>
              <w:rPr>
                <w:rFonts w:ascii="Arial" w:eastAsia="Arial" w:hAnsi="Arial" w:cs="Arial"/>
                <w:b/>
                <w:color w:val="000000"/>
                <w:sz w:val="24"/>
                <w:szCs w:val="24"/>
              </w:rPr>
              <w:t>Title</w:t>
            </w: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rsidR="00EB6A34" w:rsidRDefault="00C964CC">
            <w:pPr>
              <w:spacing w:after="0" w:line="240" w:lineRule="auto"/>
            </w:pPr>
            <w:r>
              <w:rPr>
                <w:rFonts w:ascii="Arial" w:eastAsia="Arial" w:hAnsi="Arial" w:cs="Arial"/>
                <w:b/>
                <w:color w:val="000000"/>
                <w:sz w:val="24"/>
                <w:szCs w:val="24"/>
              </w:rPr>
              <w:t>Content</w:t>
            </w:r>
          </w:p>
        </w:tc>
        <w:tc>
          <w:tcPr>
            <w:tcW w:w="2248" w:type="dxa"/>
            <w:tcBorders>
              <w:top w:val="single" w:sz="4" w:space="0" w:color="000000"/>
              <w:left w:val="single" w:sz="4" w:space="0" w:color="000000"/>
              <w:bottom w:val="single" w:sz="4" w:space="0" w:color="000000"/>
              <w:right w:val="single" w:sz="4" w:space="0" w:color="000000"/>
            </w:tcBorders>
            <w:shd w:val="clear" w:color="auto" w:fill="auto"/>
          </w:tcPr>
          <w:p w:rsidR="00EB6A34" w:rsidRDefault="00C964CC">
            <w:pPr>
              <w:spacing w:after="0" w:line="240" w:lineRule="auto"/>
            </w:pPr>
            <w:r>
              <w:rPr>
                <w:rFonts w:ascii="Arial" w:eastAsia="Arial" w:hAnsi="Arial" w:cs="Arial"/>
                <w:b/>
                <w:color w:val="000000"/>
                <w:sz w:val="24"/>
                <w:szCs w:val="24"/>
              </w:rPr>
              <w:t>Format</w:t>
            </w:r>
          </w:p>
        </w:tc>
        <w:tc>
          <w:tcPr>
            <w:tcW w:w="2247" w:type="dxa"/>
            <w:tcBorders>
              <w:top w:val="single" w:sz="4" w:space="0" w:color="000000"/>
              <w:left w:val="single" w:sz="4" w:space="0" w:color="000000"/>
              <w:bottom w:val="single" w:sz="4" w:space="0" w:color="000000"/>
              <w:right w:val="single" w:sz="4" w:space="0" w:color="000000"/>
            </w:tcBorders>
            <w:shd w:val="clear" w:color="auto" w:fill="auto"/>
          </w:tcPr>
          <w:p w:rsidR="00EB6A34" w:rsidRDefault="00C964CC">
            <w:pPr>
              <w:spacing w:after="0" w:line="240" w:lineRule="auto"/>
            </w:pPr>
            <w:r>
              <w:rPr>
                <w:rFonts w:ascii="Arial" w:eastAsia="Arial" w:hAnsi="Arial" w:cs="Arial"/>
                <w:b/>
                <w:color w:val="000000"/>
                <w:sz w:val="24"/>
                <w:szCs w:val="24"/>
              </w:rPr>
              <w:t>Frequency</w:t>
            </w:r>
          </w:p>
        </w:tc>
      </w:tr>
      <w:tr w:rsidR="00EB6A34">
        <w:trPr>
          <w:trHeight w:val="214"/>
        </w:trPr>
        <w:tc>
          <w:tcPr>
            <w:tcW w:w="2250" w:type="dxa"/>
            <w:tcBorders>
              <w:top w:val="single" w:sz="4" w:space="0" w:color="000000"/>
              <w:left w:val="single" w:sz="4" w:space="0" w:color="000000"/>
              <w:bottom w:val="single" w:sz="4" w:space="0" w:color="000000"/>
              <w:right w:val="single" w:sz="4" w:space="0" w:color="000000"/>
            </w:tcBorders>
            <w:shd w:val="clear" w:color="auto" w:fill="auto"/>
          </w:tcPr>
          <w:p w:rsidR="00EB6A34" w:rsidRDefault="00C964CC">
            <w:pPr>
              <w:tabs>
                <w:tab w:val="left" w:pos="3380"/>
              </w:tabs>
              <w:spacing w:after="0" w:line="240" w:lineRule="auto"/>
            </w:pPr>
            <w:r>
              <w:rPr>
                <w:rFonts w:ascii="Arial" w:eastAsia="Arial" w:hAnsi="Arial" w:cs="Arial"/>
                <w:color w:val="000000"/>
                <w:sz w:val="24"/>
                <w:szCs w:val="24"/>
              </w:rPr>
              <w:t>Performance</w:t>
            </w:r>
            <w:r>
              <w:rPr>
                <w:rFonts w:ascii="Arial" w:eastAsia="Arial" w:hAnsi="Arial" w:cs="Arial"/>
                <w:color w:val="000000"/>
                <w:sz w:val="24"/>
                <w:szCs w:val="24"/>
              </w:rPr>
              <w:tab/>
            </w: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rsidR="00EB6A34" w:rsidRDefault="00C964CC">
            <w:pPr>
              <w:spacing w:after="0" w:line="240" w:lineRule="auto"/>
            </w:pPr>
            <w:r>
              <w:rPr>
                <w:rFonts w:ascii="Arial" w:eastAsia="Arial" w:hAnsi="Arial" w:cs="Arial"/>
                <w:sz w:val="24"/>
                <w:szCs w:val="24"/>
              </w:rPr>
              <w:t>As described in the Attachment 3 - Statement of Requirements</w:t>
            </w:r>
          </w:p>
        </w:tc>
        <w:tc>
          <w:tcPr>
            <w:tcW w:w="2248" w:type="dxa"/>
            <w:tcBorders>
              <w:top w:val="single" w:sz="4" w:space="0" w:color="000000"/>
              <w:left w:val="single" w:sz="4" w:space="0" w:color="000000"/>
              <w:bottom w:val="single" w:sz="4" w:space="0" w:color="000000"/>
              <w:right w:val="single" w:sz="4" w:space="0" w:color="000000"/>
            </w:tcBorders>
            <w:shd w:val="clear" w:color="auto" w:fill="auto"/>
          </w:tcPr>
          <w:p w:rsidR="00EB6A34" w:rsidRDefault="00C964CC">
            <w:pPr>
              <w:spacing w:after="0" w:line="240" w:lineRule="auto"/>
            </w:pPr>
            <w:r>
              <w:rPr>
                <w:rFonts w:ascii="Arial" w:eastAsia="Arial" w:hAnsi="Arial" w:cs="Arial"/>
                <w:sz w:val="24"/>
                <w:szCs w:val="24"/>
              </w:rPr>
              <w:t>Agreed during Mobilisation</w:t>
            </w:r>
          </w:p>
        </w:tc>
        <w:tc>
          <w:tcPr>
            <w:tcW w:w="2247" w:type="dxa"/>
            <w:tcBorders>
              <w:top w:val="single" w:sz="4" w:space="0" w:color="000000"/>
              <w:left w:val="single" w:sz="4" w:space="0" w:color="000000"/>
              <w:bottom w:val="single" w:sz="4" w:space="0" w:color="000000"/>
              <w:right w:val="single" w:sz="4" w:space="0" w:color="000000"/>
            </w:tcBorders>
            <w:shd w:val="clear" w:color="auto" w:fill="auto"/>
          </w:tcPr>
          <w:p w:rsidR="00EB6A34" w:rsidRDefault="00C964CC">
            <w:pPr>
              <w:spacing w:after="0" w:line="240" w:lineRule="auto"/>
            </w:pPr>
            <w:r>
              <w:rPr>
                <w:rFonts w:ascii="Arial" w:eastAsia="Arial" w:hAnsi="Arial" w:cs="Arial"/>
                <w:sz w:val="24"/>
                <w:szCs w:val="24"/>
              </w:rPr>
              <w:t>Monthly</w:t>
            </w:r>
          </w:p>
        </w:tc>
      </w:tr>
      <w:tr w:rsidR="00EB6A34">
        <w:trPr>
          <w:trHeight w:val="155"/>
        </w:trPr>
        <w:tc>
          <w:tcPr>
            <w:tcW w:w="2250" w:type="dxa"/>
            <w:tcBorders>
              <w:top w:val="single" w:sz="4" w:space="0" w:color="000000"/>
              <w:left w:val="single" w:sz="4" w:space="0" w:color="000000"/>
              <w:bottom w:val="single" w:sz="4" w:space="0" w:color="000000"/>
              <w:right w:val="single" w:sz="4" w:space="0" w:color="000000"/>
            </w:tcBorders>
            <w:shd w:val="clear" w:color="auto" w:fill="auto"/>
          </w:tcPr>
          <w:p w:rsidR="00EB6A34" w:rsidRDefault="00C964CC">
            <w:pPr>
              <w:spacing w:after="0" w:line="240" w:lineRule="auto"/>
            </w:pPr>
            <w:r>
              <w:rPr>
                <w:rFonts w:ascii="Arial" w:eastAsia="Arial" w:hAnsi="Arial" w:cs="Arial"/>
                <w:color w:val="000000"/>
                <w:sz w:val="24"/>
                <w:szCs w:val="24"/>
              </w:rPr>
              <w:t>Call-Off  Contract Charges</w:t>
            </w: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rsidR="00EB6A34" w:rsidRDefault="00C964CC">
            <w:pPr>
              <w:spacing w:after="0" w:line="240" w:lineRule="auto"/>
            </w:pPr>
            <w:r>
              <w:rPr>
                <w:rFonts w:ascii="Arial" w:eastAsia="Arial" w:hAnsi="Arial" w:cs="Arial"/>
                <w:sz w:val="24"/>
                <w:szCs w:val="24"/>
              </w:rPr>
              <w:t>As described in the Attachment 3 - Statement of Requirements</w:t>
            </w:r>
          </w:p>
        </w:tc>
        <w:tc>
          <w:tcPr>
            <w:tcW w:w="2248" w:type="dxa"/>
            <w:tcBorders>
              <w:top w:val="single" w:sz="4" w:space="0" w:color="000000"/>
              <w:left w:val="single" w:sz="4" w:space="0" w:color="000000"/>
              <w:bottom w:val="single" w:sz="4" w:space="0" w:color="000000"/>
              <w:right w:val="single" w:sz="4" w:space="0" w:color="000000"/>
            </w:tcBorders>
            <w:shd w:val="clear" w:color="auto" w:fill="auto"/>
          </w:tcPr>
          <w:p w:rsidR="00EB6A34" w:rsidRDefault="00C964CC">
            <w:pPr>
              <w:spacing w:after="0" w:line="240" w:lineRule="auto"/>
            </w:pPr>
            <w:r>
              <w:rPr>
                <w:rFonts w:ascii="Arial" w:eastAsia="Arial" w:hAnsi="Arial" w:cs="Arial"/>
                <w:sz w:val="24"/>
                <w:szCs w:val="24"/>
              </w:rPr>
              <w:t>Agreed during Mobilisation</w:t>
            </w:r>
          </w:p>
        </w:tc>
        <w:tc>
          <w:tcPr>
            <w:tcW w:w="2247" w:type="dxa"/>
            <w:tcBorders>
              <w:top w:val="single" w:sz="4" w:space="0" w:color="000000"/>
              <w:left w:val="single" w:sz="4" w:space="0" w:color="000000"/>
              <w:bottom w:val="single" w:sz="4" w:space="0" w:color="000000"/>
              <w:right w:val="single" w:sz="4" w:space="0" w:color="000000"/>
            </w:tcBorders>
            <w:shd w:val="clear" w:color="auto" w:fill="auto"/>
          </w:tcPr>
          <w:p w:rsidR="00EB6A34" w:rsidRDefault="00C964CC">
            <w:pPr>
              <w:spacing w:after="0" w:line="240" w:lineRule="auto"/>
            </w:pPr>
            <w:r>
              <w:rPr>
                <w:rFonts w:ascii="Arial" w:eastAsia="Arial" w:hAnsi="Arial" w:cs="Arial"/>
                <w:sz w:val="24"/>
                <w:szCs w:val="24"/>
              </w:rPr>
              <w:t>Monthly</w:t>
            </w:r>
          </w:p>
        </w:tc>
      </w:tr>
      <w:tr w:rsidR="00EB6A34">
        <w:trPr>
          <w:trHeight w:val="155"/>
        </w:trPr>
        <w:tc>
          <w:tcPr>
            <w:tcW w:w="2250" w:type="dxa"/>
            <w:tcBorders>
              <w:top w:val="single" w:sz="4" w:space="0" w:color="000000"/>
              <w:left w:val="single" w:sz="4" w:space="0" w:color="000000"/>
              <w:bottom w:val="single" w:sz="4" w:space="0" w:color="000000"/>
              <w:right w:val="single" w:sz="4" w:space="0" w:color="000000"/>
            </w:tcBorders>
            <w:shd w:val="clear" w:color="auto" w:fill="auto"/>
          </w:tcPr>
          <w:p w:rsidR="00EB6A34" w:rsidRDefault="00C964CC">
            <w:pPr>
              <w:spacing w:after="0" w:line="240" w:lineRule="auto"/>
            </w:pPr>
            <w:r>
              <w:rPr>
                <w:rFonts w:ascii="Arial" w:eastAsia="Arial" w:hAnsi="Arial" w:cs="Arial"/>
                <w:color w:val="000000"/>
                <w:sz w:val="24"/>
                <w:szCs w:val="24"/>
              </w:rPr>
              <w:t>Key Subcontractors</w:t>
            </w: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rsidR="00EB6A34" w:rsidRDefault="00C964CC">
            <w:pPr>
              <w:spacing w:after="0" w:line="240" w:lineRule="auto"/>
            </w:pPr>
            <w:r>
              <w:rPr>
                <w:rFonts w:ascii="Arial" w:eastAsia="Arial" w:hAnsi="Arial" w:cs="Arial"/>
                <w:sz w:val="24"/>
                <w:szCs w:val="24"/>
              </w:rPr>
              <w:t>As described in the Attachment 3 - Statement of Requirements</w:t>
            </w:r>
          </w:p>
        </w:tc>
        <w:tc>
          <w:tcPr>
            <w:tcW w:w="2248" w:type="dxa"/>
            <w:tcBorders>
              <w:top w:val="single" w:sz="4" w:space="0" w:color="000000"/>
              <w:left w:val="single" w:sz="4" w:space="0" w:color="000000"/>
              <w:bottom w:val="single" w:sz="4" w:space="0" w:color="000000"/>
              <w:right w:val="single" w:sz="4" w:space="0" w:color="000000"/>
            </w:tcBorders>
            <w:shd w:val="clear" w:color="auto" w:fill="auto"/>
          </w:tcPr>
          <w:p w:rsidR="00EB6A34" w:rsidRDefault="00C964CC">
            <w:pPr>
              <w:spacing w:after="0" w:line="240" w:lineRule="auto"/>
            </w:pPr>
            <w:r>
              <w:rPr>
                <w:rFonts w:ascii="Arial" w:eastAsia="Arial" w:hAnsi="Arial" w:cs="Arial"/>
                <w:sz w:val="24"/>
                <w:szCs w:val="24"/>
              </w:rPr>
              <w:t>Agreed during Mobilisation</w:t>
            </w:r>
          </w:p>
        </w:tc>
        <w:tc>
          <w:tcPr>
            <w:tcW w:w="2247" w:type="dxa"/>
            <w:tcBorders>
              <w:top w:val="single" w:sz="4" w:space="0" w:color="000000"/>
              <w:left w:val="single" w:sz="4" w:space="0" w:color="000000"/>
              <w:bottom w:val="single" w:sz="4" w:space="0" w:color="000000"/>
              <w:right w:val="single" w:sz="4" w:space="0" w:color="000000"/>
            </w:tcBorders>
            <w:shd w:val="clear" w:color="auto" w:fill="auto"/>
          </w:tcPr>
          <w:p w:rsidR="00EB6A34" w:rsidRDefault="00C964CC">
            <w:pPr>
              <w:spacing w:after="0" w:line="240" w:lineRule="auto"/>
            </w:pPr>
            <w:r>
              <w:rPr>
                <w:rFonts w:ascii="Arial" w:eastAsia="Arial" w:hAnsi="Arial" w:cs="Arial"/>
                <w:sz w:val="24"/>
                <w:szCs w:val="24"/>
              </w:rPr>
              <w:t>Monthly</w:t>
            </w:r>
          </w:p>
        </w:tc>
      </w:tr>
      <w:tr w:rsidR="00EB6A34">
        <w:trPr>
          <w:trHeight w:val="155"/>
        </w:trPr>
        <w:tc>
          <w:tcPr>
            <w:tcW w:w="2250" w:type="dxa"/>
            <w:tcBorders>
              <w:top w:val="single" w:sz="4" w:space="0" w:color="000000"/>
              <w:left w:val="single" w:sz="4" w:space="0" w:color="000000"/>
              <w:bottom w:val="single" w:sz="4" w:space="0" w:color="000000"/>
              <w:right w:val="single" w:sz="4" w:space="0" w:color="000000"/>
            </w:tcBorders>
            <w:shd w:val="clear" w:color="auto" w:fill="auto"/>
          </w:tcPr>
          <w:p w:rsidR="00EB6A34" w:rsidRDefault="00C964CC">
            <w:pPr>
              <w:spacing w:after="0" w:line="240" w:lineRule="auto"/>
            </w:pPr>
            <w:r>
              <w:rPr>
                <w:rFonts w:ascii="Arial" w:eastAsia="Arial" w:hAnsi="Arial" w:cs="Arial"/>
                <w:color w:val="000000"/>
                <w:sz w:val="24"/>
                <w:szCs w:val="24"/>
              </w:rPr>
              <w:t>Technical</w:t>
            </w: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rsidR="00EB6A34" w:rsidRDefault="00C964CC">
            <w:pPr>
              <w:spacing w:after="0" w:line="240" w:lineRule="auto"/>
            </w:pPr>
            <w:r>
              <w:rPr>
                <w:rFonts w:ascii="Arial" w:eastAsia="Arial" w:hAnsi="Arial" w:cs="Arial"/>
                <w:sz w:val="24"/>
                <w:szCs w:val="24"/>
              </w:rPr>
              <w:t>As described in the Attachment 3 - Statement of Requirements</w:t>
            </w:r>
          </w:p>
        </w:tc>
        <w:tc>
          <w:tcPr>
            <w:tcW w:w="2248" w:type="dxa"/>
            <w:tcBorders>
              <w:top w:val="single" w:sz="4" w:space="0" w:color="000000"/>
              <w:left w:val="single" w:sz="4" w:space="0" w:color="000000"/>
              <w:bottom w:val="single" w:sz="4" w:space="0" w:color="000000"/>
              <w:right w:val="single" w:sz="4" w:space="0" w:color="000000"/>
            </w:tcBorders>
            <w:shd w:val="clear" w:color="auto" w:fill="auto"/>
          </w:tcPr>
          <w:p w:rsidR="00EB6A34" w:rsidRDefault="00C964CC">
            <w:pPr>
              <w:spacing w:after="0" w:line="240" w:lineRule="auto"/>
            </w:pPr>
            <w:r>
              <w:rPr>
                <w:rFonts w:ascii="Arial" w:eastAsia="Arial" w:hAnsi="Arial" w:cs="Arial"/>
                <w:sz w:val="24"/>
                <w:szCs w:val="24"/>
              </w:rPr>
              <w:t>Agreed during Mobilisation</w:t>
            </w:r>
          </w:p>
        </w:tc>
        <w:tc>
          <w:tcPr>
            <w:tcW w:w="2247" w:type="dxa"/>
            <w:tcBorders>
              <w:top w:val="single" w:sz="4" w:space="0" w:color="000000"/>
              <w:left w:val="single" w:sz="4" w:space="0" w:color="000000"/>
              <w:bottom w:val="single" w:sz="4" w:space="0" w:color="000000"/>
              <w:right w:val="single" w:sz="4" w:space="0" w:color="000000"/>
            </w:tcBorders>
            <w:shd w:val="clear" w:color="auto" w:fill="auto"/>
          </w:tcPr>
          <w:p w:rsidR="00EB6A34" w:rsidRDefault="00C964CC">
            <w:pPr>
              <w:spacing w:after="0" w:line="240" w:lineRule="auto"/>
            </w:pPr>
            <w:r>
              <w:rPr>
                <w:rFonts w:ascii="Arial" w:eastAsia="Arial" w:hAnsi="Arial" w:cs="Arial"/>
                <w:sz w:val="24"/>
                <w:szCs w:val="24"/>
              </w:rPr>
              <w:t>Monthly</w:t>
            </w:r>
          </w:p>
        </w:tc>
      </w:tr>
      <w:tr w:rsidR="00EB6A34">
        <w:trPr>
          <w:trHeight w:val="214"/>
        </w:trPr>
        <w:tc>
          <w:tcPr>
            <w:tcW w:w="2250" w:type="dxa"/>
            <w:tcBorders>
              <w:top w:val="single" w:sz="4" w:space="0" w:color="000000"/>
              <w:left w:val="single" w:sz="4" w:space="0" w:color="000000"/>
              <w:bottom w:val="single" w:sz="4" w:space="0" w:color="000000"/>
              <w:right w:val="single" w:sz="4" w:space="0" w:color="000000"/>
            </w:tcBorders>
            <w:shd w:val="clear" w:color="auto" w:fill="auto"/>
          </w:tcPr>
          <w:p w:rsidR="00EB6A34" w:rsidRDefault="00C964CC">
            <w:pPr>
              <w:spacing w:after="0" w:line="240" w:lineRule="auto"/>
            </w:pPr>
            <w:r>
              <w:rPr>
                <w:rFonts w:ascii="Arial" w:eastAsia="Arial" w:hAnsi="Arial" w:cs="Arial"/>
                <w:color w:val="000000"/>
                <w:sz w:val="24"/>
                <w:szCs w:val="24"/>
              </w:rPr>
              <w:t>Performance management</w:t>
            </w: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rsidR="00EB6A34" w:rsidRDefault="00C964CC">
            <w:pPr>
              <w:spacing w:after="0" w:line="240" w:lineRule="auto"/>
            </w:pPr>
            <w:r>
              <w:rPr>
                <w:rFonts w:ascii="Arial" w:eastAsia="Arial" w:hAnsi="Arial" w:cs="Arial"/>
                <w:sz w:val="24"/>
                <w:szCs w:val="24"/>
              </w:rPr>
              <w:t>As described in the Attachmen</w:t>
            </w:r>
            <w:r>
              <w:rPr>
                <w:rFonts w:ascii="Arial" w:eastAsia="Arial" w:hAnsi="Arial" w:cs="Arial"/>
                <w:sz w:val="24"/>
                <w:szCs w:val="24"/>
              </w:rPr>
              <w:t>t 3 - Statement of Requirements</w:t>
            </w:r>
          </w:p>
        </w:tc>
        <w:tc>
          <w:tcPr>
            <w:tcW w:w="2248" w:type="dxa"/>
            <w:tcBorders>
              <w:top w:val="single" w:sz="4" w:space="0" w:color="000000"/>
              <w:left w:val="single" w:sz="4" w:space="0" w:color="000000"/>
              <w:bottom w:val="single" w:sz="4" w:space="0" w:color="000000"/>
              <w:right w:val="single" w:sz="4" w:space="0" w:color="000000"/>
            </w:tcBorders>
            <w:shd w:val="clear" w:color="auto" w:fill="auto"/>
          </w:tcPr>
          <w:p w:rsidR="00EB6A34" w:rsidRDefault="00C964CC">
            <w:pPr>
              <w:spacing w:after="0" w:line="240" w:lineRule="auto"/>
            </w:pPr>
            <w:r>
              <w:rPr>
                <w:rFonts w:ascii="Arial" w:eastAsia="Arial" w:hAnsi="Arial" w:cs="Arial"/>
                <w:sz w:val="24"/>
                <w:szCs w:val="24"/>
              </w:rPr>
              <w:t>Agreed during Mobilisation, the monthly, quarterly and annual reports can use different formats</w:t>
            </w:r>
          </w:p>
        </w:tc>
        <w:tc>
          <w:tcPr>
            <w:tcW w:w="2247" w:type="dxa"/>
            <w:tcBorders>
              <w:top w:val="single" w:sz="4" w:space="0" w:color="000000"/>
              <w:left w:val="single" w:sz="4" w:space="0" w:color="000000"/>
              <w:bottom w:val="single" w:sz="4" w:space="0" w:color="000000"/>
              <w:right w:val="single" w:sz="4" w:space="0" w:color="000000"/>
            </w:tcBorders>
            <w:shd w:val="clear" w:color="auto" w:fill="auto"/>
          </w:tcPr>
          <w:p w:rsidR="00EB6A34" w:rsidRDefault="00C964CC">
            <w:pPr>
              <w:spacing w:after="0" w:line="240" w:lineRule="auto"/>
              <w:rPr>
                <w:rFonts w:ascii="Arial" w:eastAsia="Arial" w:hAnsi="Arial" w:cs="Arial"/>
                <w:sz w:val="24"/>
                <w:szCs w:val="24"/>
              </w:rPr>
            </w:pPr>
            <w:r>
              <w:rPr>
                <w:rFonts w:ascii="Arial" w:eastAsia="Arial" w:hAnsi="Arial" w:cs="Arial"/>
                <w:sz w:val="24"/>
                <w:szCs w:val="24"/>
              </w:rPr>
              <w:t>Monthly report</w:t>
            </w:r>
          </w:p>
          <w:p w:rsidR="00EB6A34" w:rsidRDefault="00C964CC">
            <w:pPr>
              <w:spacing w:after="0" w:line="240" w:lineRule="auto"/>
              <w:rPr>
                <w:rFonts w:ascii="Arial" w:eastAsia="Arial" w:hAnsi="Arial" w:cs="Arial"/>
                <w:sz w:val="24"/>
                <w:szCs w:val="24"/>
              </w:rPr>
            </w:pPr>
            <w:r>
              <w:rPr>
                <w:rFonts w:ascii="Arial" w:eastAsia="Arial" w:hAnsi="Arial" w:cs="Arial"/>
                <w:sz w:val="24"/>
                <w:szCs w:val="24"/>
              </w:rPr>
              <w:t>Quarterly report</w:t>
            </w:r>
          </w:p>
          <w:p w:rsidR="00EB6A34" w:rsidRDefault="00C964CC">
            <w:pPr>
              <w:spacing w:after="0" w:line="240" w:lineRule="auto"/>
              <w:rPr>
                <w:rFonts w:ascii="Arial" w:eastAsia="Arial" w:hAnsi="Arial" w:cs="Arial"/>
                <w:sz w:val="24"/>
                <w:szCs w:val="24"/>
              </w:rPr>
            </w:pPr>
            <w:r>
              <w:rPr>
                <w:rFonts w:ascii="Arial" w:eastAsia="Arial" w:hAnsi="Arial" w:cs="Arial"/>
                <w:sz w:val="24"/>
                <w:szCs w:val="24"/>
              </w:rPr>
              <w:t>and</w:t>
            </w:r>
          </w:p>
          <w:p w:rsidR="00EB6A34" w:rsidRDefault="00C964CC">
            <w:pPr>
              <w:spacing w:after="0" w:line="240" w:lineRule="auto"/>
              <w:rPr>
                <w:rFonts w:ascii="Arial" w:eastAsia="Arial" w:hAnsi="Arial" w:cs="Arial"/>
                <w:sz w:val="24"/>
                <w:szCs w:val="24"/>
              </w:rPr>
            </w:pPr>
            <w:r>
              <w:rPr>
                <w:rFonts w:ascii="Arial" w:eastAsia="Arial" w:hAnsi="Arial" w:cs="Arial"/>
                <w:sz w:val="24"/>
                <w:szCs w:val="24"/>
              </w:rPr>
              <w:t>Annual Report</w:t>
            </w:r>
          </w:p>
        </w:tc>
      </w:tr>
      <w:tr w:rsidR="00EB6A34">
        <w:trPr>
          <w:trHeight w:val="214"/>
        </w:trPr>
        <w:tc>
          <w:tcPr>
            <w:tcW w:w="2250" w:type="dxa"/>
            <w:tcBorders>
              <w:top w:val="single" w:sz="4" w:space="0" w:color="000000"/>
              <w:left w:val="single" w:sz="4" w:space="0" w:color="000000"/>
              <w:bottom w:val="single" w:sz="4" w:space="0" w:color="000000"/>
              <w:right w:val="single" w:sz="4" w:space="0" w:color="000000"/>
            </w:tcBorders>
            <w:shd w:val="clear" w:color="auto" w:fill="auto"/>
          </w:tcPr>
          <w:p w:rsidR="00EB6A34" w:rsidRDefault="00C964CC">
            <w:pPr>
              <w:spacing w:after="0" w:line="240" w:lineRule="auto"/>
              <w:rPr>
                <w:rFonts w:ascii="Arial" w:eastAsia="Arial" w:hAnsi="Arial" w:cs="Arial"/>
                <w:sz w:val="24"/>
                <w:szCs w:val="24"/>
              </w:rPr>
            </w:pPr>
            <w:r>
              <w:rPr>
                <w:rFonts w:ascii="Arial" w:eastAsia="Arial" w:hAnsi="Arial" w:cs="Arial"/>
                <w:sz w:val="24"/>
                <w:szCs w:val="24"/>
              </w:rPr>
              <w:t xml:space="preserve">Supplier Diversity </w:t>
            </w: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rsidR="00EB6A34" w:rsidRDefault="00C964CC">
            <w:pPr>
              <w:spacing w:after="0" w:line="240" w:lineRule="auto"/>
            </w:pPr>
            <w:r>
              <w:rPr>
                <w:rFonts w:ascii="Arial" w:eastAsia="Arial" w:hAnsi="Arial" w:cs="Arial"/>
                <w:sz w:val="24"/>
                <w:szCs w:val="24"/>
              </w:rPr>
              <w:t>As described in the Attachment 3 - Statement of Requirements</w:t>
            </w:r>
          </w:p>
        </w:tc>
        <w:tc>
          <w:tcPr>
            <w:tcW w:w="2248" w:type="dxa"/>
            <w:tcBorders>
              <w:top w:val="single" w:sz="4" w:space="0" w:color="000000"/>
              <w:left w:val="single" w:sz="4" w:space="0" w:color="000000"/>
              <w:bottom w:val="single" w:sz="4" w:space="0" w:color="000000"/>
              <w:right w:val="single" w:sz="4" w:space="0" w:color="000000"/>
            </w:tcBorders>
            <w:shd w:val="clear" w:color="auto" w:fill="auto"/>
          </w:tcPr>
          <w:p w:rsidR="00EB6A34" w:rsidRDefault="00C964CC">
            <w:pPr>
              <w:spacing w:after="0" w:line="240" w:lineRule="auto"/>
              <w:rPr>
                <w:rFonts w:ascii="Arial" w:eastAsia="Arial" w:hAnsi="Arial" w:cs="Arial"/>
                <w:sz w:val="24"/>
                <w:szCs w:val="24"/>
              </w:rPr>
            </w:pPr>
            <w:r>
              <w:rPr>
                <w:rFonts w:ascii="Arial" w:eastAsia="Arial" w:hAnsi="Arial" w:cs="Arial"/>
                <w:sz w:val="24"/>
                <w:szCs w:val="24"/>
              </w:rPr>
              <w:t>Agreed during Mobilisation</w:t>
            </w:r>
          </w:p>
        </w:tc>
        <w:tc>
          <w:tcPr>
            <w:tcW w:w="2247" w:type="dxa"/>
            <w:tcBorders>
              <w:top w:val="single" w:sz="4" w:space="0" w:color="000000"/>
              <w:left w:val="single" w:sz="4" w:space="0" w:color="000000"/>
              <w:bottom w:val="single" w:sz="4" w:space="0" w:color="000000"/>
              <w:right w:val="single" w:sz="4" w:space="0" w:color="000000"/>
            </w:tcBorders>
            <w:shd w:val="clear" w:color="auto" w:fill="auto"/>
          </w:tcPr>
          <w:p w:rsidR="00EB6A34" w:rsidRDefault="00C964CC">
            <w:pPr>
              <w:spacing w:after="0" w:line="240" w:lineRule="auto"/>
              <w:rPr>
                <w:rFonts w:ascii="Arial" w:eastAsia="Arial" w:hAnsi="Arial" w:cs="Arial"/>
                <w:sz w:val="24"/>
                <w:szCs w:val="24"/>
              </w:rPr>
            </w:pPr>
            <w:r>
              <w:rPr>
                <w:rFonts w:ascii="Arial" w:eastAsia="Arial" w:hAnsi="Arial" w:cs="Arial"/>
                <w:sz w:val="24"/>
                <w:szCs w:val="24"/>
              </w:rPr>
              <w:t>Monthly report</w:t>
            </w:r>
          </w:p>
          <w:p w:rsidR="00EB6A34" w:rsidRDefault="00C964CC">
            <w:pPr>
              <w:spacing w:after="0" w:line="240" w:lineRule="auto"/>
              <w:rPr>
                <w:rFonts w:ascii="Arial" w:eastAsia="Arial" w:hAnsi="Arial" w:cs="Arial"/>
                <w:sz w:val="24"/>
                <w:szCs w:val="24"/>
              </w:rPr>
            </w:pPr>
            <w:r>
              <w:rPr>
                <w:rFonts w:ascii="Arial" w:eastAsia="Arial" w:hAnsi="Arial" w:cs="Arial"/>
                <w:sz w:val="24"/>
                <w:szCs w:val="24"/>
              </w:rPr>
              <w:t>Quarterly report</w:t>
            </w:r>
          </w:p>
          <w:p w:rsidR="00EB6A34" w:rsidRDefault="00C964CC">
            <w:pPr>
              <w:spacing w:after="0" w:line="240" w:lineRule="auto"/>
              <w:rPr>
                <w:rFonts w:ascii="Arial" w:eastAsia="Arial" w:hAnsi="Arial" w:cs="Arial"/>
                <w:sz w:val="24"/>
                <w:szCs w:val="24"/>
              </w:rPr>
            </w:pPr>
            <w:r>
              <w:rPr>
                <w:rFonts w:ascii="Arial" w:eastAsia="Arial" w:hAnsi="Arial" w:cs="Arial"/>
                <w:sz w:val="24"/>
                <w:szCs w:val="24"/>
              </w:rPr>
              <w:t>and</w:t>
            </w:r>
          </w:p>
          <w:p w:rsidR="00EB6A34" w:rsidRDefault="00C964CC">
            <w:pPr>
              <w:spacing w:after="0" w:line="240" w:lineRule="auto"/>
              <w:rPr>
                <w:rFonts w:ascii="Arial" w:eastAsia="Arial" w:hAnsi="Arial" w:cs="Arial"/>
                <w:sz w:val="24"/>
                <w:szCs w:val="24"/>
              </w:rPr>
            </w:pPr>
            <w:r>
              <w:rPr>
                <w:rFonts w:ascii="Arial" w:eastAsia="Arial" w:hAnsi="Arial" w:cs="Arial"/>
                <w:sz w:val="24"/>
                <w:szCs w:val="24"/>
              </w:rPr>
              <w:t>Annual Report</w:t>
            </w:r>
          </w:p>
        </w:tc>
      </w:tr>
    </w:tbl>
    <w:p w:rsidR="00EB6A34" w:rsidRDefault="00EB6A34">
      <w:pPr>
        <w:tabs>
          <w:tab w:val="left" w:pos="1251"/>
        </w:tabs>
        <w:rPr>
          <w:rFonts w:ascii="Arial" w:eastAsia="Arial" w:hAnsi="Arial" w:cs="Arial"/>
          <w:sz w:val="24"/>
          <w:szCs w:val="24"/>
        </w:rPr>
      </w:pPr>
    </w:p>
    <w:p w:rsidR="00EB6A34" w:rsidRDefault="00EB6A34">
      <w:pPr>
        <w:rPr>
          <w:rFonts w:ascii="Arial" w:eastAsia="Arial" w:hAnsi="Arial" w:cs="Arial"/>
          <w:sz w:val="24"/>
          <w:szCs w:val="24"/>
        </w:rPr>
      </w:pPr>
    </w:p>
    <w:p w:rsidR="00EB6A34" w:rsidRDefault="00EB6A34">
      <w:pPr>
        <w:rPr>
          <w:rFonts w:ascii="Arial" w:eastAsia="Arial" w:hAnsi="Arial" w:cs="Arial"/>
          <w:sz w:val="24"/>
          <w:szCs w:val="24"/>
        </w:rPr>
      </w:pPr>
    </w:p>
    <w:p w:rsidR="00EB6A34" w:rsidRDefault="00EB6A34">
      <w:pPr>
        <w:rPr>
          <w:rFonts w:ascii="Arial" w:eastAsia="Arial" w:hAnsi="Arial" w:cs="Arial"/>
          <w:sz w:val="24"/>
          <w:szCs w:val="24"/>
        </w:rPr>
      </w:pPr>
    </w:p>
    <w:p w:rsidR="00EB6A34" w:rsidRDefault="00C964CC">
      <w:pPr>
        <w:tabs>
          <w:tab w:val="left" w:pos="1580"/>
        </w:tabs>
      </w:pPr>
      <w:r>
        <w:rPr>
          <w:rFonts w:ascii="Arial" w:eastAsia="Arial" w:hAnsi="Arial" w:cs="Arial"/>
          <w:sz w:val="24"/>
          <w:szCs w:val="24"/>
        </w:rPr>
        <w:tab/>
      </w:r>
    </w:p>
    <w:sectPr w:rsidR="00EB6A34">
      <w:headerReference w:type="default" r:id="rId7"/>
      <w:footerReference w:type="default" r:id="rId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64CC" w:rsidRDefault="00C964CC">
      <w:pPr>
        <w:spacing w:after="0" w:line="240" w:lineRule="auto"/>
      </w:pPr>
      <w:r>
        <w:separator/>
      </w:r>
    </w:p>
  </w:endnote>
  <w:endnote w:type="continuationSeparator" w:id="0">
    <w:p w:rsidR="00C964CC" w:rsidRDefault="00C964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6A34" w:rsidRDefault="00EB6A34">
    <w:pPr>
      <w:tabs>
        <w:tab w:val="center" w:pos="4513"/>
        <w:tab w:val="right" w:pos="9026"/>
      </w:tabs>
      <w:spacing w:after="0" w:line="240" w:lineRule="auto"/>
      <w:rPr>
        <w:rFonts w:ascii="Arial" w:eastAsia="Arial" w:hAnsi="Arial" w:cs="Arial"/>
        <w:color w:val="A6A6A6"/>
        <w:sz w:val="20"/>
        <w:szCs w:val="20"/>
      </w:rPr>
    </w:pPr>
  </w:p>
  <w:p w:rsidR="00EB6A34" w:rsidRDefault="00C964CC">
    <w:pPr>
      <w:tabs>
        <w:tab w:val="center" w:pos="4513"/>
        <w:tab w:val="right" w:pos="9026"/>
      </w:tabs>
      <w:spacing w:after="0" w:line="240" w:lineRule="auto"/>
    </w:pPr>
    <w:r>
      <w:rPr>
        <w:rFonts w:ascii="Arial" w:eastAsia="Arial" w:hAnsi="Arial" w:cs="Arial"/>
        <w:sz w:val="20"/>
        <w:szCs w:val="20"/>
      </w:rPr>
      <w:t>Framework Ref: RM6168 – Estate Management Services</w:t>
    </w:r>
    <w:r>
      <w:rPr>
        <w:rFonts w:ascii="Arial" w:eastAsia="Arial" w:hAnsi="Arial" w:cs="Arial"/>
        <w:sz w:val="20"/>
        <w:szCs w:val="20"/>
      </w:rPr>
      <w:tab/>
      <w:t xml:space="preserve">                                           </w:t>
    </w:r>
  </w:p>
  <w:p w:rsidR="00EB6A34" w:rsidRDefault="00C964CC">
    <w:pPr>
      <w:tabs>
        <w:tab w:val="center" w:pos="4513"/>
        <w:tab w:val="right" w:pos="9026"/>
      </w:tabs>
      <w:spacing w:after="0" w:line="240" w:lineRule="auto"/>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fldChar w:fldCharType="begin"/>
    </w:r>
    <w:r>
      <w:instrText>PAGE</w:instrText>
    </w:r>
    <w:r w:rsidR="00F964D3">
      <w:fldChar w:fldCharType="separate"/>
    </w:r>
    <w:r w:rsidR="00F964D3">
      <w:rPr>
        <w:noProof/>
      </w:rPr>
      <w:t>2</w:t>
    </w:r>
    <w:r>
      <w:fldChar w:fldCharType="end"/>
    </w:r>
  </w:p>
  <w:p w:rsidR="00EB6A34" w:rsidRDefault="00C964CC">
    <w:pPr>
      <w:spacing w:after="0" w:line="240" w:lineRule="auto"/>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64CC" w:rsidRDefault="00C964CC">
      <w:pPr>
        <w:spacing w:after="0" w:line="240" w:lineRule="auto"/>
      </w:pPr>
      <w:r>
        <w:separator/>
      </w:r>
    </w:p>
  </w:footnote>
  <w:footnote w:type="continuationSeparator" w:id="0">
    <w:p w:rsidR="00C964CC" w:rsidRDefault="00C964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6A34" w:rsidRDefault="00C964CC">
    <w:pPr>
      <w:tabs>
        <w:tab w:val="center" w:pos="4513"/>
        <w:tab w:val="right" w:pos="9026"/>
      </w:tabs>
      <w:spacing w:after="0" w:line="240" w:lineRule="auto"/>
    </w:pPr>
    <w:r>
      <w:rPr>
        <w:b/>
        <w:color w:val="000000"/>
      </w:rPr>
      <w:t>Call-Off Schedule 1 (Transparency Reports)</w:t>
    </w:r>
  </w:p>
  <w:p w:rsidR="00EB6A34" w:rsidRDefault="00C964CC">
    <w:pPr>
      <w:tabs>
        <w:tab w:val="center" w:pos="4513"/>
        <w:tab w:val="right" w:pos="9026"/>
      </w:tabs>
      <w:spacing w:after="0" w:line="240" w:lineRule="auto"/>
    </w:pPr>
    <w:r>
      <w:rPr>
        <w:rFonts w:ascii="Arial" w:eastAsia="Arial" w:hAnsi="Arial" w:cs="Arial"/>
        <w:color w:val="000000"/>
        <w:sz w:val="20"/>
        <w:szCs w:val="20"/>
      </w:rPr>
      <w:t xml:space="preserve">Call-Off Ref: </w:t>
    </w:r>
    <w:r>
      <w:rPr>
        <w:rFonts w:ascii="Arial" w:eastAsia="Arial" w:hAnsi="Arial" w:cs="Arial"/>
        <w:sz w:val="20"/>
        <w:szCs w:val="20"/>
      </w:rPr>
      <w:t xml:space="preserve">CCBO21A04  </w:t>
    </w:r>
  </w:p>
  <w:p w:rsidR="00EB6A34" w:rsidRDefault="00C964CC">
    <w:pPr>
      <w:tabs>
        <w:tab w:val="center" w:pos="4513"/>
        <w:tab w:val="right" w:pos="9026"/>
      </w:tabs>
      <w:spacing w:after="0" w:line="240" w:lineRule="auto"/>
    </w:pPr>
    <w:r>
      <w:rPr>
        <w:color w:val="000000"/>
      </w:rPr>
      <w:t>Crown Copyright</w:t>
    </w:r>
    <w:r>
      <w:rPr>
        <w:rFonts w:ascii="Arial" w:eastAsia="Arial" w:hAnsi="Arial" w:cs="Arial"/>
        <w:color w:val="000000"/>
        <w:sz w:val="16"/>
        <w:szCs w:val="16"/>
      </w:rPr>
      <w:t xml:space="preserve"> </w:t>
    </w:r>
    <w:r>
      <w:rPr>
        <w:color w:val="000000"/>
      </w:rPr>
      <w:t>20</w:t>
    </w:r>
    <w:r>
      <w:t>22</w:t>
    </w:r>
  </w:p>
  <w:p w:rsidR="00EB6A34" w:rsidRDefault="00EB6A34">
    <w:pP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6A34"/>
    <w:rsid w:val="00C964CC"/>
    <w:rsid w:val="00EB6A34"/>
    <w:rsid w:val="00F964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706C542-FF6E-477F-87C2-94FDFB0EA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pBdr>
        <w:top w:val="nil"/>
        <w:left w:val="nil"/>
        <w:bottom w:val="nil"/>
        <w:right w:val="nil"/>
        <w:between w:val="nil"/>
      </w:pBdr>
      <w:spacing w:before="480" w:after="120" w:line="240" w:lineRule="auto"/>
      <w:outlineLvl w:val="0"/>
    </w:pPr>
    <w:rPr>
      <w:b/>
      <w:color w:val="000000"/>
      <w:sz w:val="48"/>
      <w:szCs w:val="48"/>
    </w:rPr>
  </w:style>
  <w:style w:type="paragraph" w:styleId="Heading2">
    <w:name w:val="heading 2"/>
    <w:basedOn w:val="Normal"/>
    <w:next w:val="Normal"/>
    <w:pPr>
      <w:keepNext/>
      <w:keepLines/>
      <w:pBdr>
        <w:top w:val="nil"/>
        <w:left w:val="nil"/>
        <w:bottom w:val="nil"/>
        <w:right w:val="nil"/>
        <w:between w:val="nil"/>
      </w:pBdr>
      <w:spacing w:before="360" w:after="80" w:line="240" w:lineRule="auto"/>
      <w:outlineLvl w:val="1"/>
    </w:pPr>
    <w:rPr>
      <w:b/>
      <w:color w:val="000000"/>
      <w:sz w:val="36"/>
      <w:szCs w:val="36"/>
    </w:rPr>
  </w:style>
  <w:style w:type="paragraph" w:styleId="Heading3">
    <w:name w:val="heading 3"/>
    <w:basedOn w:val="Normal"/>
    <w:next w:val="Normal"/>
    <w:pPr>
      <w:keepNext/>
      <w:keepLines/>
      <w:pBdr>
        <w:top w:val="nil"/>
        <w:left w:val="nil"/>
        <w:bottom w:val="nil"/>
        <w:right w:val="nil"/>
        <w:between w:val="nil"/>
      </w:pBdr>
      <w:spacing w:before="280" w:after="80" w:line="240" w:lineRule="auto"/>
      <w:outlineLvl w:val="2"/>
    </w:pPr>
    <w:rPr>
      <w:b/>
      <w:color w:val="000000"/>
      <w:sz w:val="28"/>
      <w:szCs w:val="28"/>
    </w:rPr>
  </w:style>
  <w:style w:type="paragraph" w:styleId="Heading4">
    <w:name w:val="heading 4"/>
    <w:basedOn w:val="Normal"/>
    <w:next w:val="Normal"/>
    <w:pPr>
      <w:keepNext/>
      <w:keepLines/>
      <w:pBdr>
        <w:top w:val="nil"/>
        <w:left w:val="nil"/>
        <w:bottom w:val="nil"/>
        <w:right w:val="nil"/>
        <w:between w:val="nil"/>
      </w:pBdr>
      <w:spacing w:before="240" w:after="40" w:line="240" w:lineRule="auto"/>
      <w:outlineLvl w:val="3"/>
    </w:pPr>
    <w:rPr>
      <w:b/>
      <w:color w:val="000000"/>
      <w:sz w:val="24"/>
      <w:szCs w:val="24"/>
    </w:rPr>
  </w:style>
  <w:style w:type="paragraph" w:styleId="Heading5">
    <w:name w:val="heading 5"/>
    <w:basedOn w:val="Normal"/>
    <w:next w:val="Normal"/>
    <w:pPr>
      <w:keepNext/>
      <w:keepLines/>
      <w:pBdr>
        <w:top w:val="nil"/>
        <w:left w:val="nil"/>
        <w:bottom w:val="nil"/>
        <w:right w:val="nil"/>
        <w:between w:val="nil"/>
      </w:pBdr>
      <w:spacing w:before="220" w:after="40" w:line="240" w:lineRule="auto"/>
      <w:outlineLvl w:val="4"/>
    </w:pPr>
    <w:rPr>
      <w:b/>
      <w:color w:val="000000"/>
    </w:rPr>
  </w:style>
  <w:style w:type="paragraph" w:styleId="Heading6">
    <w:name w:val="heading 6"/>
    <w:basedOn w:val="Normal"/>
    <w:next w:val="Normal"/>
    <w:pPr>
      <w:keepNext/>
      <w:keepLines/>
      <w:pBdr>
        <w:top w:val="nil"/>
        <w:left w:val="nil"/>
        <w:bottom w:val="nil"/>
        <w:right w:val="nil"/>
        <w:between w:val="nil"/>
      </w:pBdr>
      <w:spacing w:before="200" w:after="40" w:line="240" w:lineRule="auto"/>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pBdr>
        <w:top w:val="nil"/>
        <w:left w:val="nil"/>
        <w:bottom w:val="nil"/>
        <w:right w:val="nil"/>
        <w:between w:val="nil"/>
      </w:pBdr>
      <w:spacing w:before="480" w:after="120" w:line="240" w:lineRule="auto"/>
    </w:pPr>
    <w:rPr>
      <w:b/>
      <w:color w:val="000000"/>
      <w:sz w:val="72"/>
      <w:szCs w:val="72"/>
    </w:rPr>
  </w:style>
  <w:style w:type="paragraph" w:styleId="Subtitle">
    <w:name w:val="Subtitle"/>
    <w:basedOn w:val="Normal"/>
    <w:next w:val="Normal"/>
    <w:pPr>
      <w:keepNext/>
      <w:keepLines/>
      <w:pBdr>
        <w:top w:val="nil"/>
        <w:left w:val="nil"/>
        <w:bottom w:val="nil"/>
        <w:right w:val="nil"/>
        <w:between w:val="nil"/>
      </w:pBdr>
      <w:spacing w:before="360" w:after="80" w:line="240" w:lineRule="auto"/>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379</Words>
  <Characters>2162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Myler</dc:creator>
  <cp:lastModifiedBy>Elizabeth Myler</cp:lastModifiedBy>
  <cp:revision>2</cp:revision>
  <dcterms:created xsi:type="dcterms:W3CDTF">2022-07-18T10:27:00Z</dcterms:created>
  <dcterms:modified xsi:type="dcterms:W3CDTF">2022-07-18T10:27:00Z</dcterms:modified>
</cp:coreProperties>
</file>